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68" w:rsidRDefault="00D37368" w:rsidP="00D37368">
      <w:pPr>
        <w:contextualSpacing/>
        <w:rPr>
          <w:rFonts w:ascii="Arial" w:eastAsia="Arial" w:hAnsi="Arial" w:cs="Arial"/>
          <w:sz w:val="28"/>
          <w:szCs w:val="28"/>
        </w:rPr>
      </w:pPr>
    </w:p>
    <w:p w:rsidR="00522BCB" w:rsidRDefault="00522BCB" w:rsidP="00522BCB">
      <w:pPr>
        <w:jc w:val="center"/>
      </w:pPr>
    </w:p>
    <w:p w:rsidR="00522BCB" w:rsidRDefault="00522BCB" w:rsidP="00522BCB">
      <w:pPr>
        <w:jc w:val="center"/>
      </w:pPr>
      <w:r>
        <w:rPr>
          <w:noProof/>
        </w:rPr>
        <w:drawing>
          <wp:inline distT="0" distB="0" distL="0" distR="0" wp14:anchorId="24857DF3">
            <wp:extent cx="9334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BCB" w:rsidRDefault="00522BCB" w:rsidP="00522BCB">
      <w:pPr>
        <w:jc w:val="center"/>
      </w:pPr>
    </w:p>
    <w:p w:rsidR="00522BCB" w:rsidRPr="00DA6CA4" w:rsidRDefault="00522BCB" w:rsidP="00522BCB">
      <w:pPr>
        <w:widowControl w:val="0"/>
        <w:jc w:val="center"/>
        <w:rPr>
          <w:rFonts w:ascii="Arial" w:hAnsi="Arial"/>
          <w:b/>
          <w:szCs w:val="20"/>
        </w:rPr>
      </w:pPr>
      <w:r w:rsidRPr="00DA6CA4">
        <w:rPr>
          <w:rFonts w:ascii="Arial" w:hAnsi="Arial"/>
          <w:b/>
          <w:szCs w:val="20"/>
        </w:rPr>
        <w:t>STATE OF HAWAI</w:t>
      </w:r>
      <w:r w:rsidRPr="00DA6CA4">
        <w:rPr>
          <w:rFonts w:ascii="Arial" w:hAnsi="Arial" w:cs="Arial"/>
          <w:b/>
          <w:szCs w:val="20"/>
        </w:rPr>
        <w:t>῾</w:t>
      </w:r>
      <w:r w:rsidRPr="00DA6CA4">
        <w:rPr>
          <w:rFonts w:ascii="Arial" w:hAnsi="Arial"/>
          <w:b/>
          <w:szCs w:val="20"/>
        </w:rPr>
        <w:t>I</w:t>
      </w:r>
    </w:p>
    <w:p w:rsidR="00522BCB" w:rsidRPr="00DA6CA4" w:rsidRDefault="00522BCB" w:rsidP="00522BCB">
      <w:pPr>
        <w:widowControl w:val="0"/>
        <w:jc w:val="center"/>
        <w:rPr>
          <w:rFonts w:ascii="Arial" w:hAnsi="Arial"/>
          <w:b/>
          <w:sz w:val="18"/>
          <w:szCs w:val="20"/>
        </w:rPr>
      </w:pPr>
      <w:r w:rsidRPr="00DA6CA4">
        <w:rPr>
          <w:rFonts w:ascii="Arial" w:hAnsi="Arial"/>
          <w:b/>
          <w:sz w:val="18"/>
          <w:szCs w:val="20"/>
        </w:rPr>
        <w:t xml:space="preserve">STATE COUNCIL </w:t>
      </w:r>
    </w:p>
    <w:p w:rsidR="00522BCB" w:rsidRPr="00DA6CA4" w:rsidRDefault="00522BCB" w:rsidP="00522BCB">
      <w:pPr>
        <w:widowControl w:val="0"/>
        <w:jc w:val="center"/>
        <w:rPr>
          <w:rFonts w:ascii="Arial" w:hAnsi="Arial"/>
          <w:b/>
          <w:szCs w:val="20"/>
        </w:rPr>
      </w:pPr>
      <w:r w:rsidRPr="00DA6CA4">
        <w:rPr>
          <w:rFonts w:ascii="Arial" w:hAnsi="Arial"/>
          <w:b/>
          <w:sz w:val="18"/>
          <w:szCs w:val="20"/>
        </w:rPr>
        <w:t>ON DEVELOPMENTAL DISABILITIES</w:t>
      </w:r>
    </w:p>
    <w:p w:rsidR="00522BCB" w:rsidRDefault="00522BCB" w:rsidP="00522BCB">
      <w:pPr>
        <w:widowControl w:val="0"/>
        <w:jc w:val="center"/>
        <w:rPr>
          <w:rFonts w:ascii="Arial" w:hAnsi="Arial"/>
          <w:b/>
          <w:sz w:val="14"/>
          <w:szCs w:val="20"/>
        </w:rPr>
      </w:pPr>
      <w:r>
        <w:rPr>
          <w:rFonts w:ascii="Arial" w:hAnsi="Arial"/>
          <w:b/>
          <w:sz w:val="14"/>
          <w:szCs w:val="20"/>
        </w:rPr>
        <w:t>PRINCESS VICTORIA KAM</w:t>
      </w:r>
      <w:r>
        <w:rPr>
          <w:rFonts w:ascii="Arial" w:hAnsi="Arial" w:cs="Arial"/>
          <w:b/>
          <w:sz w:val="14"/>
          <w:szCs w:val="20"/>
        </w:rPr>
        <w:t>Ā</w:t>
      </w:r>
      <w:r>
        <w:rPr>
          <w:rFonts w:ascii="Arial" w:hAnsi="Arial"/>
          <w:b/>
          <w:sz w:val="14"/>
          <w:szCs w:val="20"/>
        </w:rPr>
        <w:t>MALU BUILDING</w:t>
      </w:r>
    </w:p>
    <w:p w:rsidR="00522BCB" w:rsidRPr="00DA6CA4" w:rsidRDefault="00522BCB" w:rsidP="00522BCB">
      <w:pPr>
        <w:widowControl w:val="0"/>
        <w:jc w:val="center"/>
        <w:rPr>
          <w:rFonts w:ascii="Arial" w:hAnsi="Arial"/>
          <w:b/>
          <w:sz w:val="14"/>
          <w:szCs w:val="20"/>
        </w:rPr>
      </w:pPr>
      <w:r w:rsidRPr="00DA6CA4">
        <w:rPr>
          <w:rFonts w:ascii="Arial" w:hAnsi="Arial"/>
          <w:b/>
          <w:sz w:val="14"/>
          <w:szCs w:val="20"/>
        </w:rPr>
        <w:t>1010 RICHARDS STREET, SUITE 122</w:t>
      </w:r>
    </w:p>
    <w:p w:rsidR="00522BCB" w:rsidRPr="00DA6CA4" w:rsidRDefault="00522BCB" w:rsidP="00522BCB">
      <w:pPr>
        <w:widowControl w:val="0"/>
        <w:jc w:val="center"/>
        <w:rPr>
          <w:rFonts w:ascii="Arial" w:hAnsi="Arial"/>
          <w:b/>
          <w:sz w:val="14"/>
          <w:szCs w:val="20"/>
        </w:rPr>
      </w:pPr>
      <w:r w:rsidRPr="00DA6CA4">
        <w:rPr>
          <w:rFonts w:ascii="Arial" w:hAnsi="Arial"/>
          <w:b/>
          <w:sz w:val="14"/>
          <w:szCs w:val="20"/>
        </w:rPr>
        <w:t>HONOLULU, HAWAI</w:t>
      </w:r>
      <w:r w:rsidRPr="00DA6CA4">
        <w:rPr>
          <w:rFonts w:ascii="Arial" w:hAnsi="Arial" w:cs="Arial"/>
          <w:b/>
          <w:sz w:val="14"/>
          <w:szCs w:val="20"/>
        </w:rPr>
        <w:t>῾</w:t>
      </w:r>
      <w:r w:rsidRPr="00DA6CA4">
        <w:rPr>
          <w:rFonts w:ascii="Arial" w:hAnsi="Arial"/>
          <w:b/>
          <w:sz w:val="14"/>
          <w:szCs w:val="20"/>
        </w:rPr>
        <w:t>I 96813</w:t>
      </w:r>
    </w:p>
    <w:p w:rsidR="00522BCB" w:rsidRPr="00DA6CA4" w:rsidRDefault="00522BCB" w:rsidP="00522BCB">
      <w:pPr>
        <w:widowControl w:val="0"/>
        <w:rPr>
          <w:rFonts w:ascii="Arial" w:hAnsi="Arial"/>
          <w:b/>
          <w:sz w:val="14"/>
          <w:szCs w:val="20"/>
        </w:rPr>
      </w:pPr>
      <w:r w:rsidRPr="00DA6CA4">
        <w:rPr>
          <w:rFonts w:ascii="Arial" w:hAnsi="Arial"/>
          <w:b/>
          <w:sz w:val="14"/>
          <w:szCs w:val="20"/>
        </w:rPr>
        <w:t xml:space="preserve">                                                                              TELEPHONE: (808) 586-8100  FAX: (808) 586-7543</w:t>
      </w:r>
    </w:p>
    <w:p w:rsidR="00522BCB" w:rsidRDefault="00522BCB" w:rsidP="00522BCB">
      <w:pPr>
        <w:jc w:val="center"/>
        <w:rPr>
          <w:rFonts w:ascii="Arial" w:hAnsi="Arial" w:cs="Arial"/>
        </w:rPr>
      </w:pPr>
      <w:bookmarkStart w:id="0" w:name="_Hlk530386879"/>
      <w:r>
        <w:t xml:space="preserve"> </w:t>
      </w:r>
    </w:p>
    <w:bookmarkEnd w:id="0"/>
    <w:p w:rsidR="00522BCB" w:rsidRPr="0082436E" w:rsidRDefault="00522BCB" w:rsidP="00522BCB">
      <w:pPr>
        <w:jc w:val="center"/>
        <w:rPr>
          <w:rFonts w:ascii="Arial" w:hAnsi="Arial" w:cs="Arial"/>
        </w:rPr>
      </w:pPr>
    </w:p>
    <w:p w:rsidR="00522BCB" w:rsidRPr="0082436E" w:rsidRDefault="00522BCB" w:rsidP="00522BCB">
      <w:pPr>
        <w:jc w:val="center"/>
        <w:rPr>
          <w:rFonts w:ascii="Arial" w:hAnsi="Arial" w:cs="Arial"/>
        </w:rPr>
      </w:pPr>
      <w:r w:rsidRPr="0082436E">
        <w:rPr>
          <w:rFonts w:ascii="Arial" w:hAnsi="Arial" w:cs="Arial"/>
        </w:rPr>
        <w:t>PUBLIC AWARENESS, EDUCATION, &amp; TRAINING COMMITTEE MEETING</w:t>
      </w:r>
    </w:p>
    <w:p w:rsidR="00522BCB" w:rsidRDefault="00522BCB" w:rsidP="00522BCB">
      <w:pPr>
        <w:jc w:val="center"/>
        <w:rPr>
          <w:rFonts w:ascii="Arial" w:hAnsi="Arial" w:cs="Arial"/>
        </w:rPr>
      </w:pPr>
      <w:r w:rsidRPr="0082436E">
        <w:rPr>
          <w:rFonts w:ascii="Arial" w:hAnsi="Arial" w:cs="Arial"/>
        </w:rPr>
        <w:t xml:space="preserve">HB 538 Permitted Interaction Group </w:t>
      </w:r>
    </w:p>
    <w:p w:rsidR="00522BCB" w:rsidRPr="0082436E" w:rsidRDefault="00522BCB" w:rsidP="00522BCB">
      <w:pPr>
        <w:jc w:val="center"/>
        <w:rPr>
          <w:rFonts w:ascii="Arial" w:hAnsi="Arial" w:cs="Arial"/>
        </w:rPr>
      </w:pPr>
    </w:p>
    <w:p w:rsidR="00522BCB" w:rsidRDefault="00522BCB" w:rsidP="00522B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Outcomes from the </w:t>
      </w:r>
      <w:r w:rsidRPr="00522BCB">
        <w:rPr>
          <w:rFonts w:ascii="Arial" w:hAnsi="Arial" w:cs="Arial"/>
        </w:rPr>
        <w:t>October 10, 2019</w:t>
      </w:r>
      <w:r>
        <w:rPr>
          <w:rFonts w:ascii="Arial" w:hAnsi="Arial" w:cs="Arial"/>
        </w:rPr>
        <w:t xml:space="preserve"> meeting</w:t>
      </w:r>
    </w:p>
    <w:p w:rsidR="00522BCB" w:rsidRDefault="00522BCB" w:rsidP="00522BCB">
      <w:pPr>
        <w:jc w:val="center"/>
        <w:rPr>
          <w:rFonts w:ascii="Arial" w:hAnsi="Arial" w:cs="Arial"/>
        </w:rPr>
      </w:pPr>
    </w:p>
    <w:p w:rsidR="0002767B" w:rsidRDefault="00B229F5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group went over the past two meeting minutes.</w:t>
      </w:r>
    </w:p>
    <w:p w:rsidR="00B229F5" w:rsidRPr="0002767B" w:rsidRDefault="0002767B" w:rsidP="0002767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 Spina Bifida be included as a qualifying Developmental Disability?</w:t>
      </w:r>
      <w:r w:rsidR="00B229F5" w:rsidRPr="0002767B">
        <w:rPr>
          <w:rFonts w:ascii="Arial" w:eastAsia="Arial" w:hAnsi="Arial" w:cs="Arial"/>
          <w:sz w:val="24"/>
          <w:szCs w:val="24"/>
        </w:rPr>
        <w:t xml:space="preserve">  </w:t>
      </w:r>
    </w:p>
    <w:p w:rsidR="00B229F5" w:rsidRDefault="00B229F5" w:rsidP="00B229F5">
      <w:pPr>
        <w:ind w:left="720"/>
        <w:contextualSpacing/>
        <w:rPr>
          <w:rFonts w:ascii="Arial" w:eastAsia="Arial" w:hAnsi="Arial" w:cs="Arial"/>
          <w:sz w:val="24"/>
          <w:szCs w:val="24"/>
        </w:rPr>
      </w:pPr>
    </w:p>
    <w:p w:rsidR="00B229F5" w:rsidRDefault="00B229F5" w:rsidP="00B229F5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B229F5">
        <w:rPr>
          <w:rFonts w:ascii="Arial" w:eastAsia="Arial" w:hAnsi="Arial" w:cs="Arial"/>
          <w:sz w:val="24"/>
          <w:szCs w:val="24"/>
        </w:rPr>
        <w:t xml:space="preserve">Department of Human Services, Med-Quest Division gave a presentation on The Early and Periodic Screening, Diagnosis and Treatment (EPSDT) Program is a federally mandated program under Title XIX of the Social Security Act that provides preventive and </w:t>
      </w:r>
      <w:r>
        <w:rPr>
          <w:rFonts w:ascii="Arial" w:eastAsia="Arial" w:hAnsi="Arial" w:cs="Arial"/>
          <w:sz w:val="24"/>
          <w:szCs w:val="24"/>
        </w:rPr>
        <w:t xml:space="preserve">comprehensive health services </w:t>
      </w:r>
      <w:r w:rsidRPr="00B229F5">
        <w:rPr>
          <w:rFonts w:ascii="Arial" w:eastAsia="Arial" w:hAnsi="Arial" w:cs="Arial"/>
          <w:sz w:val="24"/>
          <w:szCs w:val="24"/>
        </w:rPr>
        <w:t>for Medicaid-eligible individuals under age 21</w:t>
      </w:r>
    </w:p>
    <w:p w:rsidR="00B229F5" w:rsidRPr="00B229F5" w:rsidRDefault="00A86043" w:rsidP="00B229F5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hyperlink r:id="rId6" w:history="1">
        <w:r w:rsidR="00B229F5" w:rsidRPr="00413C50">
          <w:rPr>
            <w:rStyle w:val="Hyperlink"/>
            <w:rFonts w:ascii="Arial" w:eastAsia="Arial" w:hAnsi="Arial" w:cs="Arial"/>
            <w:sz w:val="24"/>
            <w:szCs w:val="24"/>
          </w:rPr>
          <w:t>https://medquest.hawaii.gov/en/plans-providers/managed-care-providers/provider-epsdt.html</w:t>
        </w:r>
      </w:hyperlink>
      <w:r w:rsidR="00B229F5">
        <w:rPr>
          <w:rFonts w:ascii="Arial" w:eastAsia="Arial" w:hAnsi="Arial" w:cs="Arial"/>
          <w:sz w:val="24"/>
          <w:szCs w:val="24"/>
        </w:rPr>
        <w:t xml:space="preserve"> 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45794A" w:rsidRPr="00522BCB" w:rsidRDefault="00B229F5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Hawaii Disability Rights Center</w:t>
      </w:r>
    </w:p>
    <w:p w:rsidR="00E64652" w:rsidRDefault="00E64652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Complemented the overview of the intake process and proposed changes.</w:t>
      </w:r>
    </w:p>
    <w:p w:rsidR="0045794A" w:rsidRPr="00522BCB" w:rsidRDefault="00B229F5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Would like to make sure the public is aware of EPSDT services.  </w:t>
      </w:r>
    </w:p>
    <w:p w:rsidR="0045794A" w:rsidRPr="00522BCB" w:rsidRDefault="00B229F5" w:rsidP="00E64652">
      <w:pPr>
        <w:numPr>
          <w:ilvl w:val="2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are</w:t>
      </w:r>
      <w:r w:rsidR="00E64652">
        <w:rPr>
          <w:rFonts w:ascii="Arial" w:eastAsia="Arial" w:hAnsi="Arial" w:cs="Arial"/>
          <w:sz w:val="24"/>
          <w:szCs w:val="24"/>
        </w:rPr>
        <w:t xml:space="preserve"> families being informed of EPSDT</w:t>
      </w:r>
      <w:r>
        <w:rPr>
          <w:rFonts w:ascii="Arial" w:eastAsia="Arial" w:hAnsi="Arial" w:cs="Arial"/>
          <w:sz w:val="24"/>
          <w:szCs w:val="24"/>
        </w:rPr>
        <w:t xml:space="preserve"> service</w:t>
      </w:r>
      <w:r w:rsidR="00E64652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?  </w:t>
      </w:r>
    </w:p>
    <w:p w:rsidR="0045794A" w:rsidRDefault="00B229F5" w:rsidP="00E64652">
      <w:pPr>
        <w:numPr>
          <w:ilvl w:val="2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Agencies at the meeting explained that the pediatricians keep families informed about EPSDT. </w:t>
      </w:r>
    </w:p>
    <w:p w:rsidR="00E64652" w:rsidRDefault="00E64652" w:rsidP="00E64652">
      <w:pPr>
        <w:ind w:left="2160"/>
        <w:contextualSpacing/>
        <w:rPr>
          <w:rFonts w:ascii="Arial" w:eastAsia="Arial" w:hAnsi="Arial" w:cs="Arial"/>
          <w:sz w:val="24"/>
          <w:szCs w:val="24"/>
        </w:rPr>
      </w:pPr>
    </w:p>
    <w:p w:rsidR="00E64652" w:rsidRDefault="00E64652" w:rsidP="00E64652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When applying for Waiver Services, need to be very clear it is different than intake for DD services.  </w:t>
      </w:r>
    </w:p>
    <w:p w:rsidR="00E64652" w:rsidRDefault="00E64652" w:rsidP="00E64652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a checklist of what is needed to complete the application for Waiver services</w:t>
      </w:r>
    </w:p>
    <w:p w:rsidR="00E64652" w:rsidRDefault="00E64652" w:rsidP="00E64652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 is actual a </w:t>
      </w:r>
      <w:r w:rsidR="00A86043">
        <w:rPr>
          <w:rFonts w:ascii="Arial" w:eastAsia="Arial" w:hAnsi="Arial" w:cs="Arial"/>
          <w:sz w:val="24"/>
          <w:szCs w:val="24"/>
        </w:rPr>
        <w:t>three-step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 xml:space="preserve"> process to receive Waiver services.  Must be DDD eligible, Medicaid Eligible, ICF level of care eligible.</w:t>
      </w:r>
    </w:p>
    <w:p w:rsidR="00E64652" w:rsidRDefault="00E64652" w:rsidP="00E64652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is a separate application process for Medicaid.  </w:t>
      </w:r>
    </w:p>
    <w:p w:rsidR="00E64652" w:rsidRDefault="00E64652" w:rsidP="00E64652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Medicaid is needed </w:t>
      </w:r>
      <w:proofErr w:type="gramStart"/>
      <w:r>
        <w:rPr>
          <w:rFonts w:ascii="Arial" w:eastAsia="Arial" w:hAnsi="Arial" w:cs="Arial"/>
          <w:sz w:val="24"/>
          <w:szCs w:val="24"/>
        </w:rPr>
        <w:t>in order 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receive Waiver services.  Medicaid may need to be obtained through the deeming process for children.  </w:t>
      </w:r>
    </w:p>
    <w:p w:rsidR="00E64652" w:rsidRPr="00E64652" w:rsidRDefault="00E64652" w:rsidP="00A86043">
      <w:p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</w:t>
      </w:r>
      <w:r w:rsidRPr="00E64652">
        <w:rPr>
          <w:rFonts w:ascii="Arial" w:eastAsia="Arial" w:hAnsi="Arial" w:cs="Arial"/>
          <w:sz w:val="24"/>
          <w:szCs w:val="24"/>
        </w:rPr>
        <w:t>New Topics for next meetings</w:t>
      </w:r>
    </w:p>
    <w:p w:rsidR="00E64652" w:rsidRPr="00E64652" w:rsidRDefault="00E64652" w:rsidP="00E64652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E64652">
        <w:rPr>
          <w:rFonts w:ascii="Arial" w:eastAsia="Arial" w:hAnsi="Arial" w:cs="Arial"/>
          <w:sz w:val="24"/>
          <w:szCs w:val="24"/>
        </w:rPr>
        <w:t>Autism Waiver for Hawaii</w:t>
      </w:r>
    </w:p>
    <w:p w:rsidR="00E64652" w:rsidRPr="00E64652" w:rsidRDefault="00E64652" w:rsidP="00E64652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E64652">
        <w:rPr>
          <w:rFonts w:ascii="Arial" w:eastAsia="Arial" w:hAnsi="Arial" w:cs="Arial"/>
          <w:sz w:val="24"/>
          <w:szCs w:val="24"/>
        </w:rPr>
        <w:t>EPSDT</w:t>
      </w:r>
    </w:p>
    <w:p w:rsidR="00E64652" w:rsidRPr="00E64652" w:rsidRDefault="00E64652" w:rsidP="00E64652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E64652">
        <w:rPr>
          <w:rFonts w:ascii="Arial" w:eastAsia="Arial" w:hAnsi="Arial" w:cs="Arial"/>
          <w:sz w:val="24"/>
          <w:szCs w:val="24"/>
        </w:rPr>
        <w:t>Dual Diagnosis</w:t>
      </w:r>
    </w:p>
    <w:p w:rsidR="00E64652" w:rsidRPr="00E64652" w:rsidRDefault="00E64652" w:rsidP="00E64652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E64652">
        <w:rPr>
          <w:rFonts w:ascii="Arial" w:eastAsia="Arial" w:hAnsi="Arial" w:cs="Arial"/>
          <w:sz w:val="24"/>
          <w:szCs w:val="24"/>
        </w:rPr>
        <w:t>Supports Intensity Scales - Budget</w:t>
      </w:r>
    </w:p>
    <w:p w:rsidR="00E64652" w:rsidRPr="00E64652" w:rsidRDefault="00E64652" w:rsidP="00E64652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E64652">
        <w:rPr>
          <w:rFonts w:ascii="Arial" w:eastAsia="Arial" w:hAnsi="Arial" w:cs="Arial"/>
          <w:sz w:val="24"/>
          <w:szCs w:val="24"/>
        </w:rPr>
        <w:t>N. I. Capacity Building (neighbor island)</w:t>
      </w:r>
    </w:p>
    <w:p w:rsidR="00E64652" w:rsidRPr="00E64652" w:rsidRDefault="00E64652" w:rsidP="00E64652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bookmarkStart w:id="2" w:name="_gjdgxs" w:colFirst="0" w:colLast="0"/>
      <w:bookmarkEnd w:id="2"/>
      <w:r w:rsidRPr="00E64652">
        <w:rPr>
          <w:rFonts w:ascii="Arial" w:eastAsia="Arial" w:hAnsi="Arial" w:cs="Arial"/>
          <w:sz w:val="24"/>
          <w:szCs w:val="24"/>
        </w:rPr>
        <w:t>Agency Supervision</w:t>
      </w:r>
    </w:p>
    <w:p w:rsidR="00E64652" w:rsidRDefault="00E64652" w:rsidP="00E64652">
      <w:pPr>
        <w:contextualSpacing/>
        <w:rPr>
          <w:rFonts w:ascii="Arial" w:eastAsia="Arial" w:hAnsi="Arial" w:cs="Arial"/>
          <w:sz w:val="24"/>
          <w:szCs w:val="24"/>
        </w:rPr>
      </w:pPr>
    </w:p>
    <w:p w:rsidR="00B40EF0" w:rsidRDefault="00B40EF0" w:rsidP="00B40EF0">
      <w:p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is our final Permitted Working Group meeting </w:t>
      </w:r>
      <w:r w:rsidRPr="00B40EF0">
        <w:rPr>
          <w:rFonts w:ascii="Arial" w:eastAsia="Arial" w:hAnsi="Arial" w:cs="Arial"/>
          <w:sz w:val="24"/>
          <w:szCs w:val="24"/>
        </w:rPr>
        <w:t>to examine and evaluate the application process of the Hawaii Medicaid Section 1915(c) Home and Community-Based Services for people with Intellectual and Developmental Disabilities Waiver and existing services provided by the Developmental Disabilities Division.</w:t>
      </w:r>
    </w:p>
    <w:p w:rsidR="00B40EF0" w:rsidRDefault="00B40EF0" w:rsidP="00B40EF0">
      <w:pPr>
        <w:contextualSpacing/>
        <w:rPr>
          <w:rFonts w:ascii="Arial" w:eastAsia="Arial" w:hAnsi="Arial" w:cs="Arial"/>
          <w:sz w:val="24"/>
          <w:szCs w:val="24"/>
        </w:rPr>
      </w:pPr>
    </w:p>
    <w:p w:rsidR="00B40EF0" w:rsidRDefault="00B40EF0" w:rsidP="00B40EF0">
      <w:p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will hold a meeting i</w:t>
      </w:r>
      <w:r w:rsidRPr="00B40EF0"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z w:val="24"/>
          <w:szCs w:val="24"/>
        </w:rPr>
        <w:t>November to discuss the outcomes of the three working group meetings.  The committee would like to meet at the State Capitol.  Representative Mizuno’s office will provide the Council with a room, the date and time of the meeting.  This will be shared with the committee as soon as possible.</w:t>
      </w:r>
    </w:p>
    <w:p w:rsidR="00B40EF0" w:rsidRDefault="00B40EF0" w:rsidP="00B40EF0">
      <w:pPr>
        <w:contextualSpacing/>
        <w:rPr>
          <w:rFonts w:ascii="Arial" w:eastAsia="Arial" w:hAnsi="Arial" w:cs="Arial"/>
          <w:sz w:val="24"/>
          <w:szCs w:val="24"/>
        </w:rPr>
      </w:pPr>
    </w:p>
    <w:p w:rsidR="00B40EF0" w:rsidRPr="00522BCB" w:rsidRDefault="00B40EF0" w:rsidP="00B40EF0">
      <w:p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Meetings will continue </w:t>
      </w:r>
      <w:proofErr w:type="gramStart"/>
      <w:r>
        <w:rPr>
          <w:rFonts w:ascii="Arial" w:eastAsia="Arial" w:hAnsi="Arial" w:cs="Arial"/>
          <w:sz w:val="24"/>
          <w:szCs w:val="24"/>
        </w:rPr>
        <w:t>on a monthly basis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address parent and consumer concerns through the Council’s Public Awareness Education and Training Committee.  Meetings are held on the second Wednesday of every month (except December and July) from 1</w:t>
      </w:r>
      <w:r w:rsidRPr="00B40EF0">
        <w:rPr>
          <w:rFonts w:ascii="Arial" w:eastAsia="Arial" w:hAnsi="Arial" w:cs="Arial"/>
          <w:sz w:val="24"/>
          <w:szCs w:val="24"/>
        </w:rPr>
        <w:t xml:space="preserve">0:30am – 11:30am, at 601 </w:t>
      </w:r>
      <w:proofErr w:type="spellStart"/>
      <w:r w:rsidRPr="00B40EF0">
        <w:rPr>
          <w:rFonts w:ascii="Arial" w:eastAsia="Arial" w:hAnsi="Arial" w:cs="Arial"/>
          <w:sz w:val="24"/>
          <w:szCs w:val="24"/>
        </w:rPr>
        <w:t>Kamokila</w:t>
      </w:r>
      <w:proofErr w:type="spellEnd"/>
      <w:r w:rsidRPr="00B40EF0">
        <w:rPr>
          <w:rFonts w:ascii="Arial" w:eastAsia="Arial" w:hAnsi="Arial" w:cs="Arial"/>
          <w:sz w:val="24"/>
          <w:szCs w:val="24"/>
        </w:rPr>
        <w:t xml:space="preserve"> Blvd., Kapolei, Hawaii 96707 Room 556.  </w:t>
      </w:r>
    </w:p>
    <w:sectPr w:rsidR="00B40EF0" w:rsidRPr="00522B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14C"/>
    <w:multiLevelType w:val="hybridMultilevel"/>
    <w:tmpl w:val="6A70DBBA"/>
    <w:lvl w:ilvl="0" w:tplc="273EFF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15B7"/>
    <w:multiLevelType w:val="multilevel"/>
    <w:tmpl w:val="8B8E6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OwNAMCIxMDS3MDIyUdpeDU4uLM/DyQApNaAHoReKwsAAAA"/>
  </w:docVars>
  <w:rsids>
    <w:rsidRoot w:val="0045794A"/>
    <w:rsid w:val="0002767B"/>
    <w:rsid w:val="003F2DD0"/>
    <w:rsid w:val="0045794A"/>
    <w:rsid w:val="004D5F1E"/>
    <w:rsid w:val="00522BCB"/>
    <w:rsid w:val="00A86043"/>
    <w:rsid w:val="00B229F5"/>
    <w:rsid w:val="00B40EF0"/>
    <w:rsid w:val="00D37368"/>
    <w:rsid w:val="00E46119"/>
    <w:rsid w:val="00E64652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A4B3"/>
  <w15:docId w15:val="{E237C742-275E-4510-8D5E-40FFC03D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29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9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quest.hawaii.gov/en/plans-providers/managed-care-providers/provider-epsdt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Bartoldus, Daintry</dc:creator>
  <cp:lastModifiedBy>Bartoldus, Daintry</cp:lastModifiedBy>
  <cp:revision>7</cp:revision>
  <dcterms:created xsi:type="dcterms:W3CDTF">2018-11-19T20:34:00Z</dcterms:created>
  <dcterms:modified xsi:type="dcterms:W3CDTF">2018-11-20T00:04:00Z</dcterms:modified>
</cp:coreProperties>
</file>